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5B" w:rsidRDefault="0078165B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 w:rsidRPr="0078165B">
        <w:rPr>
          <w:rFonts w:ascii="Sylfaen" w:hAnsi="Sylfaen" w:cs="ArTarumianMatenagir"/>
          <w:b/>
          <w:bCs/>
          <w:sz w:val="24"/>
          <w:szCs w:val="24"/>
          <w:lang w:val="af-ZA"/>
        </w:rPr>
        <w:t>Հավելված</w:t>
      </w: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 1</w:t>
      </w:r>
    </w:p>
    <w:p w:rsidR="000B6E7F" w:rsidRDefault="000B6E7F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Հայաստանի Հանրապետության</w:t>
      </w:r>
    </w:p>
    <w:p w:rsidR="000B6E7F" w:rsidRDefault="000B6E7F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Շիրակի մարզի Գյումրի համայնքի </w:t>
      </w:r>
    </w:p>
    <w:p w:rsidR="000B6E7F" w:rsidRDefault="000B6E7F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ավագանու 2022 թվականի</w:t>
      </w:r>
    </w:p>
    <w:p w:rsidR="000B6E7F" w:rsidRDefault="000B6E7F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 xml:space="preserve">սեպտեմբերի </w:t>
      </w:r>
    </w:p>
    <w:p w:rsidR="000B6E7F" w:rsidRPr="0078165B" w:rsidRDefault="000B6E7F" w:rsidP="0078165B">
      <w:pPr>
        <w:spacing w:line="240" w:lineRule="auto"/>
        <w:contextualSpacing/>
        <w:jc w:val="right"/>
        <w:rPr>
          <w:rFonts w:ascii="Sylfaen" w:hAnsi="Sylfaen" w:cs="ArTarumianMatenagir"/>
          <w:b/>
          <w:bCs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N                    որոշման</w:t>
      </w:r>
    </w:p>
    <w:p w:rsidR="003B7092" w:rsidRPr="0078165B" w:rsidRDefault="0078165B" w:rsidP="003B7092">
      <w:pPr>
        <w:spacing w:line="240" w:lineRule="auto"/>
        <w:contextualSpacing/>
        <w:jc w:val="center"/>
        <w:rPr>
          <w:rFonts w:ascii="Sylfaen" w:hAnsi="Sylfaen"/>
          <w:b/>
          <w:sz w:val="24"/>
          <w:szCs w:val="24"/>
          <w:lang w:val="af-ZA"/>
        </w:rPr>
      </w:pPr>
      <w:r>
        <w:rPr>
          <w:rFonts w:ascii="Sylfaen" w:hAnsi="Sylfaen" w:cs="ArTarumianMatenagir"/>
          <w:b/>
          <w:bCs/>
          <w:sz w:val="24"/>
          <w:szCs w:val="24"/>
          <w:lang w:val="af-ZA"/>
        </w:rPr>
        <w:t>«</w:t>
      </w:r>
      <w:r w:rsidR="003B7092" w:rsidRPr="00BD4954">
        <w:rPr>
          <w:rFonts w:ascii="Sylfaen" w:hAnsi="Sylfaen"/>
          <w:b/>
          <w:sz w:val="24"/>
          <w:szCs w:val="24"/>
          <w:lang w:val="hy-AM"/>
        </w:rPr>
        <w:t xml:space="preserve">Աուտիզմ և այլ խնդիրներ ունեցող երեխաների </w:t>
      </w:r>
      <w:r>
        <w:rPr>
          <w:rFonts w:ascii="Sylfaen" w:hAnsi="Sylfaen"/>
          <w:b/>
          <w:sz w:val="24"/>
          <w:szCs w:val="24"/>
          <w:lang w:val="hy-AM"/>
        </w:rPr>
        <w:t>ինքնասպասարկ</w:t>
      </w:r>
      <w:proofErr w:type="spellStart"/>
      <w:r>
        <w:rPr>
          <w:rFonts w:ascii="Sylfaen" w:hAnsi="Sylfaen"/>
          <w:b/>
          <w:sz w:val="24"/>
          <w:szCs w:val="24"/>
        </w:rPr>
        <w:t>ում</w:t>
      </w:r>
      <w:proofErr w:type="spellEnd"/>
      <w:r w:rsidR="003B7092" w:rsidRPr="00BD4954">
        <w:rPr>
          <w:rFonts w:ascii="Sylfaen" w:hAnsi="Sylfaen"/>
          <w:b/>
          <w:sz w:val="24"/>
          <w:szCs w:val="24"/>
          <w:lang w:val="hy-AM"/>
        </w:rPr>
        <w:t xml:space="preserve">, </w:t>
      </w:r>
      <w:r>
        <w:rPr>
          <w:rFonts w:ascii="Sylfaen" w:hAnsi="Sylfaen"/>
          <w:b/>
          <w:sz w:val="24"/>
          <w:szCs w:val="24"/>
          <w:lang w:val="hy-AM"/>
        </w:rPr>
        <w:t>սոցիալականաց</w:t>
      </w:r>
      <w:proofErr w:type="spellStart"/>
      <w:r>
        <w:rPr>
          <w:rFonts w:ascii="Sylfaen" w:hAnsi="Sylfaen"/>
          <w:b/>
          <w:sz w:val="24"/>
          <w:szCs w:val="24"/>
        </w:rPr>
        <w:t>ում</w:t>
      </w:r>
      <w:proofErr w:type="spellEnd"/>
      <w:r w:rsidR="003B7092" w:rsidRPr="00BD4954">
        <w:rPr>
          <w:rFonts w:ascii="Sylfaen" w:hAnsi="Sylfaen"/>
          <w:b/>
          <w:sz w:val="24"/>
          <w:szCs w:val="24"/>
          <w:lang w:val="hy-AM"/>
        </w:rPr>
        <w:t xml:space="preserve"> և կյանքի հմտությունների </w:t>
      </w:r>
      <w:r>
        <w:rPr>
          <w:rFonts w:ascii="Sylfaen" w:hAnsi="Sylfaen"/>
          <w:b/>
          <w:sz w:val="24"/>
          <w:szCs w:val="24"/>
          <w:lang w:val="hy-AM"/>
        </w:rPr>
        <w:t>զարգաց</w:t>
      </w:r>
      <w:proofErr w:type="spellStart"/>
      <w:r>
        <w:rPr>
          <w:rFonts w:ascii="Sylfaen" w:hAnsi="Sylfaen"/>
          <w:b/>
          <w:sz w:val="24"/>
          <w:szCs w:val="24"/>
        </w:rPr>
        <w:t>ում</w:t>
      </w:r>
      <w:proofErr w:type="spellEnd"/>
      <w:r w:rsidRPr="0078165B">
        <w:rPr>
          <w:rFonts w:ascii="Sylfaen" w:hAnsi="Sylfaen" w:cs="ArTarumianMatenagir"/>
          <w:b/>
          <w:bCs/>
          <w:sz w:val="24"/>
          <w:szCs w:val="24"/>
          <w:lang w:val="af-ZA"/>
        </w:rPr>
        <w:t>»</w:t>
      </w:r>
    </w:p>
    <w:p w:rsidR="003B7092" w:rsidRPr="00BD4954" w:rsidRDefault="003B7092" w:rsidP="003B7092">
      <w:pPr>
        <w:spacing w:line="240" w:lineRule="auto"/>
        <w:contextualSpacing/>
        <w:jc w:val="center"/>
        <w:rPr>
          <w:rFonts w:ascii="Sylfaen" w:hAnsi="Sylfaen"/>
          <w:vertAlign w:val="superscript"/>
          <w:lang w:val="af-ZA"/>
        </w:rPr>
      </w:pPr>
      <w:r w:rsidRPr="00BD4954">
        <w:rPr>
          <w:rFonts w:ascii="Sylfaen" w:hAnsi="Sylfaen"/>
          <w:vertAlign w:val="superscript"/>
          <w:lang w:val="af-ZA"/>
        </w:rPr>
        <w:t>(Ծրագրի</w:t>
      </w:r>
      <w:r w:rsidRPr="00BD4954">
        <w:rPr>
          <w:rFonts w:ascii="Sylfaen" w:hAnsi="Sylfaen"/>
          <w:b/>
          <w:vertAlign w:val="superscript"/>
          <w:lang w:val="af-ZA"/>
        </w:rPr>
        <w:t xml:space="preserve"> </w:t>
      </w:r>
      <w:r w:rsidRPr="00BD4954">
        <w:rPr>
          <w:rFonts w:ascii="Sylfaen" w:hAnsi="Sylfaen"/>
          <w:vertAlign w:val="superscript"/>
          <w:lang w:val="af-ZA"/>
        </w:rPr>
        <w:t>անվանում)</w:t>
      </w:r>
      <w:r w:rsidRPr="00BD4954">
        <w:rPr>
          <w:rFonts w:ascii="Sylfaen" w:hAnsi="Sylfaen" w:cs="ArTarumianMatenagir"/>
          <w:bCs/>
          <w:lang w:val="af-ZA"/>
        </w:rPr>
        <w:t xml:space="preserve"> </w:t>
      </w:r>
    </w:p>
    <w:p w:rsidR="003B7092" w:rsidRPr="00BD4954" w:rsidRDefault="003B7092" w:rsidP="003B7092">
      <w:pPr>
        <w:spacing w:line="240" w:lineRule="auto"/>
        <w:contextualSpacing/>
        <w:jc w:val="center"/>
        <w:rPr>
          <w:rFonts w:ascii="Sylfaen" w:hAnsi="Sylfaen"/>
          <w:sz w:val="24"/>
          <w:szCs w:val="24"/>
          <w:lang w:val="af-ZA"/>
        </w:rPr>
      </w:pPr>
    </w:p>
    <w:tbl>
      <w:tblPr>
        <w:tblW w:w="104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4"/>
        <w:gridCol w:w="526"/>
        <w:gridCol w:w="1641"/>
        <w:gridCol w:w="1695"/>
        <w:gridCol w:w="775"/>
        <w:gridCol w:w="794"/>
        <w:gridCol w:w="808"/>
        <w:gridCol w:w="822"/>
        <w:gridCol w:w="911"/>
      </w:tblGrid>
      <w:tr w:rsidR="003B7092" w:rsidRPr="0078165B" w:rsidTr="0086490E">
        <w:tc>
          <w:tcPr>
            <w:tcW w:w="2454" w:type="dxa"/>
            <w:tcBorders>
              <w:right w:val="nil"/>
            </w:tcBorders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Պարտադիր խնդիր, որի լուծմանն է միտված ծրագիրը</w:t>
            </w:r>
          </w:p>
        </w:tc>
        <w:tc>
          <w:tcPr>
            <w:tcW w:w="526" w:type="dxa"/>
            <w:tcBorders>
              <w:right w:val="nil"/>
            </w:tcBorders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446" w:type="dxa"/>
            <w:gridSpan w:val="7"/>
            <w:tcBorders>
              <w:left w:val="nil"/>
            </w:tcBorders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Հ</w:t>
            </w: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ամայնքի բնակչության սոցիալական պաշտպանությունը</w:t>
            </w:r>
          </w:p>
        </w:tc>
      </w:tr>
      <w:tr w:rsidR="003B7092" w:rsidRPr="00714F04" w:rsidTr="0086490E">
        <w:tc>
          <w:tcPr>
            <w:tcW w:w="2454" w:type="dxa"/>
            <w:vMerge w:val="restart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Ծրագրի անմիջական նպատակ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Նպաստել  աուտիզմ և հատուկ կարիքներ ունեցող երեխաների ինքնասպասարկման, սոցիալականացման և կյանքի հմտությունների զարգացմանը՝ շեշտադրելով ընտանիքի դերը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Ծառայությունից օգտվող շահառուների թիվ</w:t>
            </w: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25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30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30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30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30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30</w:t>
            </w:r>
          </w:p>
        </w:tc>
      </w:tr>
      <w:tr w:rsidR="003B7092" w:rsidRPr="00714F04" w:rsidTr="0086490E">
        <w:tc>
          <w:tcPr>
            <w:tcW w:w="2454" w:type="dxa"/>
            <w:vMerge w:val="restart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Ծրագրի միջանկյալ արդյունքներ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03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Ծառայությունները մատուցվում են հմուտ մասնագետների կողմից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Սենյակների թիվ</w:t>
            </w: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</w:tr>
      <w:tr w:rsidR="003B7092" w:rsidRPr="00714F04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Ծառայությունների մատուցմանը ներգրավված են շահագրգիռ այլ կառույցներ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Կառույնցների թիվը</w:t>
            </w: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Ելակետային</w:t>
            </w:r>
          </w:p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արժեք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Թիրախային արժեքներ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202</w:t>
            </w: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6</w:t>
            </w:r>
          </w:p>
        </w:tc>
      </w:tr>
      <w:tr w:rsidR="003B7092" w:rsidRPr="0078165B" w:rsidTr="0086490E">
        <w:tc>
          <w:tcPr>
            <w:tcW w:w="2454" w:type="dxa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</w:p>
        </w:tc>
        <w:tc>
          <w:tcPr>
            <w:tcW w:w="1695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-</w:t>
            </w:r>
          </w:p>
        </w:tc>
        <w:tc>
          <w:tcPr>
            <w:tcW w:w="775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 xml:space="preserve">5 </w:t>
            </w:r>
          </w:p>
        </w:tc>
        <w:tc>
          <w:tcPr>
            <w:tcW w:w="808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822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3B7092" w:rsidRPr="0078165B" w:rsidRDefault="003B7092" w:rsidP="0086490E">
            <w:pPr>
              <w:contextualSpacing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7</w:t>
            </w:r>
          </w:p>
        </w:tc>
      </w:tr>
      <w:tr w:rsidR="003B7092" w:rsidRPr="0078165B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Ծրագրի հիմնական գործողությունները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Կարիք ունեցող երեխաների քարտեզագրում/ ծառայություններից  դուրս մնացած/</w:t>
            </w:r>
          </w:p>
          <w:p w:rsidR="003B7092" w:rsidRPr="0078165B" w:rsidRDefault="003B7092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Ոլորտային</w:t>
            </w:r>
            <w:r w:rsid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մասնագետներից ձևավորել  մասնագիտ</w:t>
            </w: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ական կամավորական խմբեր</w:t>
            </w:r>
          </w:p>
          <w:p w:rsidR="003B7092" w:rsidRPr="0078165B" w:rsidRDefault="003B7092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Առկա տեղական և միջազգային փորձի ուսումնասիրության հիմքի վրա Գյուրիի մոդելի ստեղծում</w:t>
            </w:r>
          </w:p>
          <w:p w:rsidR="003B7092" w:rsidRPr="0078165B" w:rsidRDefault="003B7092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Ծառայության մատուցում/ Գործընկեր՝ ՎՎ, կառույցին պատկանող հարմարեցված տարածքում/</w:t>
            </w:r>
          </w:p>
          <w:p w:rsidR="003B7092" w:rsidRPr="0078165B" w:rsidRDefault="003B7092" w:rsidP="00864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Արդյունքների գնահատում, հաշվետվության ներկայացում</w:t>
            </w:r>
          </w:p>
        </w:tc>
      </w:tr>
      <w:tr w:rsidR="003B7092" w:rsidRPr="00F41A7D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Ծրագրի բյուջեն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F657EC">
            <w:pPr>
              <w:pStyle w:val="a3"/>
              <w:spacing w:after="0" w:line="240" w:lineRule="auto"/>
              <w:ind w:left="502"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10 </w:t>
            </w:r>
            <w:r w:rsidR="00F41A7D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>մլն</w:t>
            </w:r>
            <w:r w:rsidR="00F657EC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</w:t>
            </w:r>
            <w:r w:rsidRPr="0078165B">
              <w:rPr>
                <w:rFonts w:ascii="Sylfaen" w:eastAsia="Times New Roman" w:hAnsi="Sylfaen"/>
                <w:color w:val="000000"/>
                <w:sz w:val="22"/>
                <w:szCs w:val="22"/>
                <w:lang w:val="af-ZA" w:eastAsia="ru-RU"/>
              </w:rPr>
              <w:t xml:space="preserve"> դրամ</w:t>
            </w:r>
          </w:p>
        </w:tc>
      </w:tr>
      <w:tr w:rsidR="003B7092" w:rsidRPr="00F41A7D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 xml:space="preserve">Ծրագրի </w:t>
            </w: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իրականացման համար անհրաժեշտ այլ ռեսուրսներ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78165B">
              <w:rPr>
                <w:rFonts w:ascii="Sylfaen" w:hAnsi="Sylfaen"/>
                <w:szCs w:val="24"/>
                <w:lang w:val="hy-AM"/>
              </w:rPr>
              <w:lastRenderedPageBreak/>
              <w:t xml:space="preserve">Վերապատրաստված մասնագետներ, տրասնպորտային </w:t>
            </w:r>
            <w:r w:rsidR="00F41A7D">
              <w:rPr>
                <w:rFonts w:ascii="Sylfaen" w:hAnsi="Sylfaen"/>
                <w:szCs w:val="24"/>
                <w:lang w:val="hy-AM"/>
              </w:rPr>
              <w:t>հա</w:t>
            </w:r>
            <w:r w:rsidRPr="0078165B">
              <w:rPr>
                <w:rFonts w:ascii="Sylfaen" w:hAnsi="Sylfaen"/>
                <w:szCs w:val="24"/>
                <w:lang w:val="hy-AM"/>
              </w:rPr>
              <w:t xml:space="preserve">սանելիության </w:t>
            </w:r>
            <w:r w:rsidRPr="0078165B">
              <w:rPr>
                <w:rFonts w:ascii="Sylfaen" w:hAnsi="Sylfaen"/>
                <w:szCs w:val="24"/>
                <w:lang w:val="hy-AM"/>
              </w:rPr>
              <w:lastRenderedPageBreak/>
              <w:t xml:space="preserve">ապահովում </w:t>
            </w:r>
          </w:p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B7092" w:rsidRPr="00714F04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lastRenderedPageBreak/>
              <w:t>Ծրագրի հիմնական ռիսկերը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Cs w:val="24"/>
                <w:lang w:val="hy-AM"/>
              </w:rPr>
            </w:pPr>
            <w:r w:rsidRPr="0078165B">
              <w:rPr>
                <w:rFonts w:ascii="Sylfaen" w:hAnsi="Sylfaen"/>
                <w:szCs w:val="24"/>
                <w:lang w:val="hy-AM"/>
              </w:rPr>
              <w:t>Չեն ցանկանա վերասպստրաստվել, վերապատրաստվելուց/սովորելուց հետո չվերադառնալ՝ համայնքում աշխատելու համար։</w:t>
            </w:r>
          </w:p>
        </w:tc>
      </w:tr>
      <w:tr w:rsidR="003B7092" w:rsidRPr="00714F04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 xml:space="preserve">Ծրագրի հիմնական շահառուները 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Cs w:val="24"/>
                <w:lang w:val="hy-AM"/>
              </w:rPr>
              <w:t>Աուտիզմով և այլ հատուկ կարիքներով երեխաներ</w:t>
            </w:r>
          </w:p>
        </w:tc>
      </w:tr>
      <w:tr w:rsidR="003B7092" w:rsidRPr="0078165B" w:rsidTr="0086490E"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 xml:space="preserve">Ծրագրի սկիզբ և ավարտ 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hy-AM"/>
              </w:rPr>
            </w:pPr>
            <w:r w:rsidRPr="0078165B">
              <w:rPr>
                <w:rFonts w:ascii="Sylfaen" w:hAnsi="Sylfaen"/>
                <w:sz w:val="24"/>
                <w:szCs w:val="24"/>
                <w:lang w:val="hy-AM"/>
              </w:rPr>
              <w:t>2021-2026</w:t>
            </w:r>
          </w:p>
        </w:tc>
      </w:tr>
      <w:tr w:rsidR="003B7092" w:rsidRPr="00714F04" w:rsidTr="0086490E">
        <w:trPr>
          <w:trHeight w:val="1974"/>
        </w:trPr>
        <w:tc>
          <w:tcPr>
            <w:tcW w:w="2454" w:type="dxa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sz w:val="24"/>
                <w:szCs w:val="24"/>
                <w:lang w:val="af-ZA"/>
              </w:rPr>
              <w:t>Ծրագրի համառոտ նկարագրություն</w:t>
            </w:r>
          </w:p>
        </w:tc>
        <w:tc>
          <w:tcPr>
            <w:tcW w:w="7972" w:type="dxa"/>
            <w:gridSpan w:val="8"/>
            <w:shd w:val="clear" w:color="auto" w:fill="auto"/>
          </w:tcPr>
          <w:p w:rsidR="003B7092" w:rsidRPr="0078165B" w:rsidRDefault="003B7092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78165B">
              <w:rPr>
                <w:rFonts w:ascii="Sylfaen" w:hAnsi="Sylfaen"/>
                <w:bCs/>
                <w:lang w:val="hy-AM"/>
              </w:rPr>
              <w:t xml:space="preserve">Գյումրի համայնքում  աուտիզմ և հաշմանդամություն ունեցող երեխաների համար մատուցվող ծառայությունների վիճակագրությունը </w:t>
            </w:r>
            <w:r w:rsidR="00F41A7D">
              <w:rPr>
                <w:rFonts w:ascii="Sylfaen" w:hAnsi="Sylfaen"/>
                <w:bCs/>
                <w:lang w:val="hy-AM"/>
              </w:rPr>
              <w:t>ցու</w:t>
            </w:r>
            <w:r w:rsidRPr="0078165B">
              <w:rPr>
                <w:rFonts w:ascii="Sylfaen" w:hAnsi="Sylfaen"/>
                <w:bCs/>
                <w:lang w:val="hy-AM"/>
              </w:rPr>
              <w:t xml:space="preserve">յց է տալիս, որ նման ծառայությունները զգալի ազդեցություն ունեն երեխաների և </w:t>
            </w:r>
            <w:proofErr w:type="spellStart"/>
            <w:r w:rsidR="00F41A7D">
              <w:rPr>
                <w:rFonts w:ascii="Sylfaen" w:hAnsi="Sylfaen"/>
                <w:bCs/>
              </w:rPr>
              <w:t>նրանց</w:t>
            </w:r>
            <w:proofErr w:type="spellEnd"/>
            <w:r w:rsidRPr="0078165B">
              <w:rPr>
                <w:rFonts w:ascii="Sylfaen" w:hAnsi="Sylfaen"/>
                <w:bCs/>
                <w:lang w:val="hy-AM"/>
              </w:rPr>
              <w:t xml:space="preserve"> ընտանիքի անդամների կյանքի որակի բարելավման </w:t>
            </w:r>
            <w:proofErr w:type="spellStart"/>
            <w:r w:rsidR="00F41A7D">
              <w:rPr>
                <w:rFonts w:ascii="Sylfaen" w:hAnsi="Sylfaen"/>
                <w:bCs/>
              </w:rPr>
              <w:t>վրա</w:t>
            </w:r>
            <w:proofErr w:type="spellEnd"/>
            <w:r w:rsidRPr="0078165B">
              <w:rPr>
                <w:rFonts w:ascii="Sylfaen" w:hAnsi="Sylfaen"/>
                <w:bCs/>
                <w:lang w:val="hy-AM"/>
              </w:rPr>
              <w:t xml:space="preserve">։ </w:t>
            </w:r>
          </w:p>
          <w:p w:rsidR="003B7092" w:rsidRPr="0078165B" w:rsidRDefault="003B7092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78165B">
              <w:rPr>
                <w:rFonts w:ascii="Sylfaen" w:hAnsi="Sylfaen"/>
                <w:bCs/>
                <w:lang w:val="hy-AM"/>
              </w:rPr>
              <w:t xml:space="preserve">Ցավոք, Գյումրիում նման ծառայություններից օգտվում են սահմանափակ քանակով երեխաներ՝ հաշվի առնելով ներկա </w:t>
            </w:r>
            <w:r w:rsidR="00652A54">
              <w:rPr>
                <w:rFonts w:ascii="Sylfaen" w:hAnsi="Sylfaen"/>
                <w:bCs/>
                <w:lang w:val="hy-AM"/>
              </w:rPr>
              <w:t>ծառայությ</w:t>
            </w:r>
            <w:r w:rsidR="00652A54" w:rsidRPr="00652A54">
              <w:rPr>
                <w:rFonts w:ascii="Sylfaen" w:hAnsi="Sylfaen"/>
                <w:bCs/>
                <w:lang w:val="hy-AM"/>
              </w:rPr>
              <w:t>ա</w:t>
            </w:r>
            <w:r w:rsidRPr="0078165B">
              <w:rPr>
                <w:rFonts w:ascii="Sylfaen" w:hAnsi="Sylfaen"/>
                <w:bCs/>
                <w:lang w:val="hy-AM"/>
              </w:rPr>
              <w:t xml:space="preserve">ն մատուցման համար հատկացված գույքային, շենքային պայմանները, ինչպես նաև մասնագետների բացակայությունը։    </w:t>
            </w:r>
          </w:p>
          <w:p w:rsidR="003B7092" w:rsidRPr="0078165B" w:rsidRDefault="003B7092" w:rsidP="0086490E">
            <w:pPr>
              <w:contextualSpacing/>
              <w:rPr>
                <w:rFonts w:ascii="Sylfaen" w:hAnsi="Sylfaen"/>
                <w:bCs/>
                <w:lang w:val="hy-AM"/>
              </w:rPr>
            </w:pPr>
            <w:r w:rsidRPr="0078165B">
              <w:rPr>
                <w:rFonts w:ascii="Sylfaen" w:hAnsi="Sylfaen"/>
                <w:bCs/>
                <w:lang w:val="hy-AM"/>
              </w:rPr>
              <w:t xml:space="preserve">Տվյալ ծրագիրը միտված է ավելացնել ծառայությունների մատուցման քանակը և աշխարհագրությունը՝ ծառայության մեջ ներառելով նաև հարակից բնակավայրերի երեխաներին։ </w:t>
            </w:r>
          </w:p>
          <w:p w:rsidR="003B7092" w:rsidRPr="0078165B" w:rsidRDefault="003B7092" w:rsidP="00652A54">
            <w:pPr>
              <w:contextualSpacing/>
              <w:rPr>
                <w:rFonts w:ascii="Sylfaen" w:hAnsi="Sylfaen"/>
                <w:sz w:val="24"/>
                <w:szCs w:val="24"/>
                <w:lang w:val="af-ZA"/>
              </w:rPr>
            </w:pPr>
            <w:r w:rsidRPr="0078165B">
              <w:rPr>
                <w:rFonts w:ascii="Sylfaen" w:hAnsi="Sylfaen"/>
                <w:bCs/>
                <w:lang w:val="hy-AM"/>
              </w:rPr>
              <w:t xml:space="preserve">Ծրագրի հիմնական շեշտադրումը համագործակցության </w:t>
            </w:r>
            <w:r w:rsidR="00652A54" w:rsidRPr="00652A54">
              <w:rPr>
                <w:rFonts w:ascii="Sylfaen" w:hAnsi="Sylfaen"/>
                <w:bCs/>
                <w:lang w:val="hy-AM"/>
              </w:rPr>
              <w:t xml:space="preserve">ստեղծումն </w:t>
            </w:r>
            <w:r w:rsidRPr="0078165B">
              <w:rPr>
                <w:rFonts w:ascii="Sylfaen" w:hAnsi="Sylfaen"/>
                <w:bCs/>
                <w:lang w:val="hy-AM"/>
              </w:rPr>
              <w:t>է՝ ռեսուրսների մոբիլիզացման և արդյունավետության բարձրացման նպատակով</w:t>
            </w:r>
            <w:r w:rsidR="00652A54" w:rsidRPr="00652A54">
              <w:rPr>
                <w:rFonts w:ascii="Sylfaen" w:hAnsi="Sylfaen"/>
                <w:bCs/>
                <w:lang w:val="hy-AM"/>
              </w:rPr>
              <w:t xml:space="preserve">, ինչպես նաև </w:t>
            </w:r>
            <w:r w:rsidRPr="0078165B">
              <w:rPr>
                <w:rFonts w:ascii="Sylfaen" w:hAnsi="Sylfaen"/>
                <w:bCs/>
                <w:lang w:val="hy-AM"/>
              </w:rPr>
              <w:t xml:space="preserve"> մասնագետների վերապատրաստումը։  </w:t>
            </w:r>
          </w:p>
        </w:tc>
      </w:tr>
    </w:tbl>
    <w:p w:rsidR="003B7092" w:rsidRPr="0078165B" w:rsidRDefault="003B7092" w:rsidP="003B7092">
      <w:pPr>
        <w:rPr>
          <w:rFonts w:ascii="Sylfaen" w:hAnsi="Sylfaen"/>
          <w:sz w:val="24"/>
          <w:szCs w:val="24"/>
          <w:lang w:val="hy-AM"/>
        </w:rPr>
      </w:pPr>
    </w:p>
    <w:sectPr w:rsidR="003B7092" w:rsidRPr="0078165B" w:rsidSect="00E002C3">
      <w:pgSz w:w="12240" w:h="15840"/>
      <w:pgMar w:top="426" w:right="9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Matenagir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B7A8F"/>
    <w:multiLevelType w:val="hybridMultilevel"/>
    <w:tmpl w:val="F5660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459EF"/>
    <w:multiLevelType w:val="hybridMultilevel"/>
    <w:tmpl w:val="064A9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E7170"/>
    <w:multiLevelType w:val="hybridMultilevel"/>
    <w:tmpl w:val="26F017C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3EA17155"/>
    <w:multiLevelType w:val="multilevel"/>
    <w:tmpl w:val="F1B0A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5A4E1DDB"/>
    <w:multiLevelType w:val="hybridMultilevel"/>
    <w:tmpl w:val="F1F00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7092"/>
    <w:rsid w:val="000138A9"/>
    <w:rsid w:val="00063F2B"/>
    <w:rsid w:val="000B6E7F"/>
    <w:rsid w:val="00291D28"/>
    <w:rsid w:val="003B7092"/>
    <w:rsid w:val="00516DE8"/>
    <w:rsid w:val="00652A54"/>
    <w:rsid w:val="00714F04"/>
    <w:rsid w:val="0078165B"/>
    <w:rsid w:val="00BC43CA"/>
    <w:rsid w:val="00CD29EE"/>
    <w:rsid w:val="00D82E27"/>
    <w:rsid w:val="00F41A7D"/>
    <w:rsid w:val="00F6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92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B7092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709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34"/>
    <w:qFormat/>
    <w:rsid w:val="003B709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34"/>
    <w:rsid w:val="003B709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2022-09-07T13:53:00Z</dcterms:created>
  <dcterms:modified xsi:type="dcterms:W3CDTF">2022-09-07T13:53:00Z</dcterms:modified>
</cp:coreProperties>
</file>